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8CD5B7" w14:textId="77777777" w:rsidR="00652DEE" w:rsidRPr="00A80490" w:rsidRDefault="00652DEE" w:rsidP="00652DEE">
      <w:pPr>
        <w:pStyle w:val="EndNoteBibliography"/>
        <w:rPr>
          <w:rFonts w:ascii="Minion Pro" w:hAnsi="Minion Pro" w:hint="eastAsia"/>
          <w:b/>
          <w:bCs/>
        </w:rPr>
      </w:pPr>
      <w:bookmarkStart w:id="0" w:name="OLE_LINK85"/>
      <w:r w:rsidRPr="00A80490">
        <w:rPr>
          <w:rFonts w:ascii="Minion Pro" w:hAnsi="Minion Pro" w:hint="eastAsia"/>
          <w:b/>
          <w:bCs/>
        </w:rPr>
        <w:t>Supplementary Materials</w:t>
      </w:r>
    </w:p>
    <w:bookmarkEnd w:id="0"/>
    <w:p w14:paraId="2EEFBE66" w14:textId="77777777" w:rsidR="00652DEE" w:rsidRPr="00401510" w:rsidRDefault="00652DEE" w:rsidP="00652DEE">
      <w:pPr>
        <w:spacing w:line="360" w:lineRule="auto"/>
        <w:jc w:val="left"/>
        <w:rPr>
          <w:color w:val="auto"/>
        </w:rPr>
      </w:pPr>
      <w:r w:rsidRPr="00401510">
        <w:rPr>
          <w:b/>
          <w:color w:val="auto"/>
        </w:rPr>
        <w:t>Table S1:</w:t>
      </w:r>
      <w:r w:rsidRPr="00401510">
        <w:rPr>
          <w:color w:val="auto"/>
        </w:rPr>
        <w:t xml:space="preserve"> Primer sequences used in qPCR and siRNA transfection</w:t>
      </w:r>
    </w:p>
    <w:p w14:paraId="3E681EA1" w14:textId="77777777" w:rsidR="00652DEE" w:rsidRPr="00401510" w:rsidRDefault="00652DEE" w:rsidP="00652DEE">
      <w:pPr>
        <w:spacing w:after="60" w:line="240" w:lineRule="auto"/>
        <w:jc w:val="left"/>
        <w:rPr>
          <w:color w:val="auto"/>
          <w:sz w:val="22"/>
          <w:szCs w:val="22"/>
        </w:rPr>
      </w:pPr>
      <w:r w:rsidRPr="00401510">
        <w:rPr>
          <w:b/>
          <w:color w:val="auto"/>
          <w:sz w:val="22"/>
          <w:szCs w:val="22"/>
        </w:rPr>
        <w:t>Table S2:</w:t>
      </w:r>
      <w:r w:rsidRPr="00401510">
        <w:rPr>
          <w:color w:val="auto"/>
          <w:sz w:val="22"/>
          <w:szCs w:val="22"/>
        </w:rPr>
        <w:t xml:space="preserve"> 2343 Target mRNAs of 25 DE-miRNAs in EVs from ASMCs (stretch/static)</w:t>
      </w:r>
    </w:p>
    <w:p w14:paraId="3B6BDC95" w14:textId="77777777" w:rsidR="00652DEE" w:rsidRPr="00401510" w:rsidRDefault="00652DEE" w:rsidP="00652DEE">
      <w:pPr>
        <w:spacing w:after="60" w:line="240" w:lineRule="auto"/>
        <w:jc w:val="left"/>
        <w:rPr>
          <w:rFonts w:cs="Arial"/>
          <w:color w:val="auto"/>
          <w:sz w:val="22"/>
          <w:szCs w:val="22"/>
        </w:rPr>
      </w:pPr>
      <w:r w:rsidRPr="00401510">
        <w:rPr>
          <w:rFonts w:cs="Arial"/>
          <w:b/>
          <w:color w:val="auto"/>
          <w:sz w:val="22"/>
          <w:szCs w:val="22"/>
        </w:rPr>
        <w:t>Table S3</w:t>
      </w:r>
      <w:r w:rsidRPr="00401510">
        <w:rPr>
          <w:rFonts w:cs="Arial"/>
          <w:color w:val="auto"/>
          <w:sz w:val="22"/>
          <w:szCs w:val="22"/>
        </w:rPr>
        <w:t>: The results of GO enrichment of 2343 target mRNAs of 25 DE-miRNAs via DAVID</w:t>
      </w:r>
    </w:p>
    <w:p w14:paraId="33FA0EA8" w14:textId="77777777" w:rsidR="00652DEE" w:rsidRPr="00A80490" w:rsidRDefault="00652DEE" w:rsidP="00652DEE">
      <w:pPr>
        <w:spacing w:after="60" w:line="240" w:lineRule="auto"/>
        <w:jc w:val="left"/>
        <w:rPr>
          <w:rFonts w:cs="Arial" w:hint="eastAsia"/>
          <w:color w:val="auto"/>
          <w:sz w:val="22"/>
          <w:szCs w:val="22"/>
        </w:rPr>
      </w:pPr>
      <w:r w:rsidRPr="00401510">
        <w:rPr>
          <w:rFonts w:cs="Arial"/>
          <w:b/>
          <w:color w:val="auto"/>
          <w:sz w:val="22"/>
          <w:szCs w:val="22"/>
        </w:rPr>
        <w:t>Table S4</w:t>
      </w:r>
      <w:r w:rsidRPr="00401510">
        <w:rPr>
          <w:rFonts w:cs="Arial"/>
          <w:color w:val="auto"/>
          <w:sz w:val="22"/>
          <w:szCs w:val="22"/>
        </w:rPr>
        <w:t>: The results of KEGG pathway analysis of 2343 target mRNAs of 25 DE-miRNAs via DAVID</w:t>
      </w:r>
    </w:p>
    <w:p w14:paraId="1B11044C" w14:textId="77777777" w:rsidR="00652DEE" w:rsidRPr="00401510" w:rsidRDefault="00652DEE" w:rsidP="00652DEE">
      <w:pPr>
        <w:spacing w:after="60" w:line="240" w:lineRule="auto"/>
        <w:rPr>
          <w:rFonts w:cs="Arial" w:hint="eastAsia"/>
          <w:color w:val="auto"/>
          <w:sz w:val="22"/>
          <w:szCs w:val="22"/>
        </w:rPr>
      </w:pPr>
      <w:r w:rsidRPr="00401510">
        <w:rPr>
          <w:rFonts w:cs="Arial"/>
          <w:b/>
          <w:color w:val="auto"/>
          <w:sz w:val="22"/>
          <w:szCs w:val="22"/>
        </w:rPr>
        <w:t>Figure S1</w:t>
      </w:r>
      <w:r w:rsidRPr="00401510">
        <w:rPr>
          <w:rFonts w:cs="Arial"/>
          <w:color w:val="auto"/>
          <w:sz w:val="22"/>
          <w:szCs w:val="22"/>
        </w:rPr>
        <w:t>: Effect of Rab27a siRNA transfection on the cell function of cultured ASMCs. (</w:t>
      </w:r>
      <w:r w:rsidRPr="00401510">
        <w:rPr>
          <w:rFonts w:cs="Arial"/>
          <w:b/>
          <w:color w:val="auto"/>
          <w:sz w:val="22"/>
          <w:szCs w:val="22"/>
        </w:rPr>
        <w:t>A</w:t>
      </w:r>
      <w:r w:rsidRPr="00401510">
        <w:rPr>
          <w:rFonts w:cs="Arial"/>
          <w:color w:val="auto"/>
          <w:sz w:val="22"/>
          <w:szCs w:val="22"/>
        </w:rPr>
        <w:t>) mRNA expression of Rab27a measured with qPCR. (</w:t>
      </w:r>
      <w:r w:rsidRPr="00401510">
        <w:rPr>
          <w:rFonts w:cs="Arial"/>
          <w:b/>
          <w:color w:val="auto"/>
          <w:sz w:val="22"/>
          <w:szCs w:val="22"/>
        </w:rPr>
        <w:t>B, C</w:t>
      </w:r>
      <w:r w:rsidRPr="00401510">
        <w:rPr>
          <w:rFonts w:cs="Arial"/>
          <w:color w:val="auto"/>
          <w:sz w:val="22"/>
          <w:szCs w:val="22"/>
        </w:rPr>
        <w:t xml:space="preserve">) Cellular activity of ASMCs measured with CCK-8, and MTT. CCK-8: cell </w:t>
      </w:r>
      <w:proofErr w:type="spellStart"/>
      <w:r w:rsidRPr="00401510">
        <w:rPr>
          <w:rFonts w:cs="Arial"/>
          <w:color w:val="auto"/>
          <w:sz w:val="22"/>
          <w:szCs w:val="22"/>
        </w:rPr>
        <w:t>couning</w:t>
      </w:r>
      <w:proofErr w:type="spellEnd"/>
      <w:r w:rsidRPr="00401510">
        <w:rPr>
          <w:rFonts w:cs="Arial"/>
          <w:color w:val="auto"/>
          <w:sz w:val="22"/>
          <w:szCs w:val="22"/>
        </w:rPr>
        <w:t xml:space="preserve"> Kit-8; MTT: </w:t>
      </w:r>
      <w:r w:rsidRPr="00401510">
        <w:rPr>
          <w:color w:val="auto"/>
          <w:sz w:val="22"/>
          <w:szCs w:val="22"/>
        </w:rPr>
        <w:t>3-(4,5-dimethylthiazol-2-yl)-2,5 diphenyl tetrazolium bromide</w:t>
      </w:r>
      <w:r w:rsidRPr="00401510">
        <w:rPr>
          <w:rFonts w:cs="Arial"/>
          <w:color w:val="auto"/>
          <w:sz w:val="22"/>
          <w:szCs w:val="22"/>
        </w:rPr>
        <w:t xml:space="preserve">. Data were presented as means ± SD (n = 3), ** </w:t>
      </w:r>
      <w:r w:rsidRPr="00401510">
        <w:rPr>
          <w:rFonts w:cs="Arial"/>
          <w:i/>
          <w:color w:val="auto"/>
          <w:sz w:val="22"/>
          <w:szCs w:val="22"/>
        </w:rPr>
        <w:t>p</w:t>
      </w:r>
      <w:r w:rsidRPr="00401510">
        <w:rPr>
          <w:rFonts w:cs="Arial"/>
          <w:color w:val="auto"/>
          <w:sz w:val="22"/>
          <w:szCs w:val="22"/>
        </w:rPr>
        <w:t xml:space="preserve"> &lt; 0.01 and </w:t>
      </w:r>
      <w:proofErr w:type="spellStart"/>
      <w:r w:rsidRPr="00401510">
        <w:rPr>
          <w:rFonts w:cs="Arial"/>
          <w:color w:val="auto"/>
          <w:sz w:val="22"/>
          <w:szCs w:val="22"/>
        </w:rPr>
        <w:t>n.s</w:t>
      </w:r>
      <w:proofErr w:type="spellEnd"/>
      <w:r w:rsidRPr="00401510">
        <w:rPr>
          <w:rFonts w:cs="Arial"/>
          <w:color w:val="auto"/>
          <w:sz w:val="22"/>
          <w:szCs w:val="22"/>
        </w:rPr>
        <w:t>. indicates not significant compared with the Scramble group.</w:t>
      </w:r>
    </w:p>
    <w:p w14:paraId="76DE9319" w14:textId="77777777" w:rsidR="00652DEE" w:rsidRPr="00401510" w:rsidRDefault="00652DEE" w:rsidP="00652DEE">
      <w:pPr>
        <w:spacing w:after="60" w:line="240" w:lineRule="auto"/>
        <w:rPr>
          <w:rFonts w:cs="Arial" w:hint="eastAsia"/>
          <w:color w:val="auto"/>
          <w:sz w:val="22"/>
          <w:szCs w:val="22"/>
        </w:rPr>
      </w:pPr>
      <w:r w:rsidRPr="00401510">
        <w:rPr>
          <w:rFonts w:cs="Arial"/>
          <w:b/>
          <w:color w:val="auto"/>
          <w:sz w:val="22"/>
          <w:szCs w:val="22"/>
        </w:rPr>
        <w:t>Figure S2</w:t>
      </w:r>
      <w:r w:rsidRPr="00401510">
        <w:rPr>
          <w:rFonts w:cs="Arial"/>
          <w:color w:val="auto"/>
          <w:sz w:val="22"/>
          <w:szCs w:val="22"/>
        </w:rPr>
        <w:t>: Effect of tidal volume of MV on airway inflammation of mice. (</w:t>
      </w:r>
      <w:r w:rsidRPr="00401510">
        <w:rPr>
          <w:rFonts w:cs="Arial"/>
          <w:b/>
          <w:color w:val="auto"/>
          <w:sz w:val="22"/>
          <w:szCs w:val="22"/>
        </w:rPr>
        <w:t>A</w:t>
      </w:r>
      <w:r w:rsidRPr="00401510">
        <w:rPr>
          <w:rFonts w:cs="Arial"/>
          <w:color w:val="auto"/>
          <w:sz w:val="22"/>
          <w:szCs w:val="22"/>
        </w:rPr>
        <w:t>) Representative images of lung tissue sections with HE staining (</w:t>
      </w:r>
      <w:r w:rsidRPr="00401510">
        <w:rPr>
          <w:rFonts w:eastAsia="微软雅黑"/>
          <w:color w:val="auto"/>
          <w:sz w:val="22"/>
          <w:szCs w:val="22"/>
          <w:shd w:val="clear" w:color="auto" w:fill="FFFFFF"/>
        </w:rPr>
        <w:t>×40 objective</w:t>
      </w:r>
      <w:r w:rsidRPr="00401510">
        <w:rPr>
          <w:rFonts w:cs="Arial"/>
          <w:color w:val="auto"/>
          <w:sz w:val="22"/>
          <w:szCs w:val="22"/>
        </w:rPr>
        <w:t>). Arrows indicate the shedding of airway epithelial cells. (</w:t>
      </w:r>
      <w:r w:rsidRPr="00401510">
        <w:rPr>
          <w:rFonts w:cs="Arial"/>
          <w:b/>
          <w:color w:val="auto"/>
          <w:sz w:val="22"/>
          <w:szCs w:val="22"/>
        </w:rPr>
        <w:t>B</w:t>
      </w:r>
      <w:r w:rsidRPr="00401510">
        <w:rPr>
          <w:rFonts w:cs="Arial"/>
          <w:color w:val="auto"/>
          <w:sz w:val="22"/>
          <w:szCs w:val="22"/>
        </w:rPr>
        <w:t>) TGF-β1 expression in bronchoalveolar lavage fluid (BALF) measured by ELISA. (</w:t>
      </w:r>
      <w:r w:rsidRPr="00401510">
        <w:rPr>
          <w:rFonts w:cs="Arial"/>
          <w:b/>
          <w:color w:val="auto"/>
          <w:sz w:val="22"/>
          <w:szCs w:val="22"/>
        </w:rPr>
        <w:t>C</w:t>
      </w:r>
      <w:r w:rsidRPr="00401510">
        <w:rPr>
          <w:rFonts w:cs="Arial"/>
          <w:color w:val="auto"/>
          <w:sz w:val="22"/>
          <w:szCs w:val="22"/>
        </w:rPr>
        <w:t xml:space="preserve">) Cell number in BALF measured by cell counting. Data were presented as means ± SD (n = 6), ** </w:t>
      </w:r>
      <w:r w:rsidRPr="00401510">
        <w:rPr>
          <w:rFonts w:cs="Arial"/>
          <w:i/>
          <w:color w:val="auto"/>
          <w:sz w:val="22"/>
          <w:szCs w:val="22"/>
        </w:rPr>
        <w:t>p</w:t>
      </w:r>
      <w:r w:rsidRPr="00401510">
        <w:rPr>
          <w:rFonts w:cs="Arial"/>
          <w:color w:val="auto"/>
          <w:sz w:val="22"/>
          <w:szCs w:val="22"/>
        </w:rPr>
        <w:t xml:space="preserve"> &lt; 0.01 compared with Healthy, </w:t>
      </w:r>
      <w:proofErr w:type="spellStart"/>
      <w:r w:rsidRPr="00401510">
        <w:rPr>
          <w:rFonts w:cs="Arial"/>
          <w:color w:val="auto"/>
          <w:sz w:val="22"/>
          <w:szCs w:val="22"/>
        </w:rPr>
        <w:t>n.s</w:t>
      </w:r>
      <w:proofErr w:type="spellEnd"/>
      <w:r w:rsidRPr="00401510">
        <w:rPr>
          <w:rFonts w:cs="Arial"/>
          <w:color w:val="auto"/>
          <w:sz w:val="22"/>
          <w:szCs w:val="22"/>
        </w:rPr>
        <w:t xml:space="preserve">. indicates not significant </w:t>
      </w:r>
      <w:proofErr w:type="gramStart"/>
      <w:r w:rsidRPr="00401510">
        <w:rPr>
          <w:rFonts w:cs="Arial"/>
          <w:color w:val="auto"/>
          <w:sz w:val="22"/>
          <w:szCs w:val="22"/>
        </w:rPr>
        <w:t>compared</w:t>
      </w:r>
      <w:proofErr w:type="gramEnd"/>
      <w:r w:rsidRPr="00401510">
        <w:rPr>
          <w:rFonts w:cs="Arial"/>
          <w:color w:val="auto"/>
          <w:sz w:val="22"/>
          <w:szCs w:val="22"/>
        </w:rPr>
        <w:t xml:space="preserve"> between 18 and 24 mL/kg. </w:t>
      </w:r>
    </w:p>
    <w:p w14:paraId="53BE2ED3" w14:textId="77777777" w:rsidR="00652DEE" w:rsidRPr="00401510" w:rsidRDefault="00652DEE" w:rsidP="00652DEE">
      <w:pPr>
        <w:spacing w:after="60" w:line="240" w:lineRule="auto"/>
        <w:rPr>
          <w:rFonts w:cs="Arial"/>
          <w:color w:val="auto"/>
          <w:sz w:val="22"/>
          <w:szCs w:val="22"/>
        </w:rPr>
      </w:pPr>
      <w:r w:rsidRPr="00401510">
        <w:rPr>
          <w:rFonts w:cs="Arial"/>
          <w:b/>
          <w:color w:val="auto"/>
          <w:sz w:val="22"/>
          <w:szCs w:val="22"/>
        </w:rPr>
        <w:t>Figure S3</w:t>
      </w:r>
      <w:r w:rsidRPr="00401510">
        <w:rPr>
          <w:rFonts w:cs="Arial"/>
          <w:color w:val="auto"/>
          <w:sz w:val="22"/>
          <w:szCs w:val="22"/>
        </w:rPr>
        <w:t xml:space="preserve">: Effect of MV on alveolar wall thickness of mice with/without TUDCA or GW4869. MV: mechanical ventilation; TUDCA: </w:t>
      </w:r>
      <w:proofErr w:type="spellStart"/>
      <w:r w:rsidRPr="00401510">
        <w:rPr>
          <w:rFonts w:cs="Arial"/>
          <w:color w:val="auto"/>
          <w:sz w:val="22"/>
          <w:szCs w:val="22"/>
        </w:rPr>
        <w:t>Tauroursodeoxycholic</w:t>
      </w:r>
      <w:proofErr w:type="spellEnd"/>
      <w:r w:rsidRPr="00401510">
        <w:rPr>
          <w:rFonts w:cs="Arial"/>
          <w:color w:val="auto"/>
          <w:sz w:val="22"/>
          <w:szCs w:val="22"/>
        </w:rPr>
        <w:t xml:space="preserve"> acid. Data were presented as means ± SD (n = 6), ** </w:t>
      </w:r>
      <w:r w:rsidRPr="00401510">
        <w:rPr>
          <w:rFonts w:cs="Arial"/>
          <w:i/>
          <w:color w:val="auto"/>
          <w:sz w:val="22"/>
          <w:szCs w:val="22"/>
        </w:rPr>
        <w:t>p</w:t>
      </w:r>
      <w:r w:rsidRPr="00401510">
        <w:rPr>
          <w:rFonts w:cs="Arial"/>
          <w:color w:val="auto"/>
          <w:sz w:val="22"/>
          <w:szCs w:val="22"/>
        </w:rPr>
        <w:t xml:space="preserve"> &lt; 0.01 compared with Control (without MV)</w:t>
      </w:r>
      <w:proofErr w:type="gramStart"/>
      <w:r w:rsidRPr="00401510">
        <w:rPr>
          <w:rFonts w:cs="Arial"/>
          <w:color w:val="auto"/>
          <w:sz w:val="22"/>
          <w:szCs w:val="22"/>
        </w:rPr>
        <w:t xml:space="preserve">, </w:t>
      </w:r>
      <w:r w:rsidRPr="00401510">
        <w:rPr>
          <w:rFonts w:cs="Arial"/>
          <w:color w:val="auto"/>
          <w:sz w:val="22"/>
          <w:szCs w:val="22"/>
          <w:vertAlign w:val="superscript"/>
        </w:rPr>
        <w:t xml:space="preserve">## </w:t>
      </w:r>
      <w:r w:rsidRPr="00401510">
        <w:rPr>
          <w:rFonts w:cs="Arial"/>
          <w:i/>
          <w:color w:val="auto"/>
          <w:sz w:val="22"/>
          <w:szCs w:val="22"/>
        </w:rPr>
        <w:t>p</w:t>
      </w:r>
      <w:proofErr w:type="gramEnd"/>
      <w:r w:rsidRPr="00401510">
        <w:rPr>
          <w:rFonts w:cs="Arial"/>
          <w:color w:val="auto"/>
          <w:sz w:val="22"/>
          <w:szCs w:val="22"/>
        </w:rPr>
        <w:t xml:space="preserve"> &lt; 0.01 compared with MV.</w:t>
      </w:r>
    </w:p>
    <w:p w14:paraId="42174186" w14:textId="77777777" w:rsidR="005C0CC9" w:rsidRPr="00652DEE" w:rsidRDefault="005C0CC9">
      <w:pPr>
        <w:rPr>
          <w:rFonts w:hint="eastAsia"/>
        </w:rPr>
      </w:pPr>
    </w:p>
    <w:sectPr w:rsidR="005C0CC9" w:rsidRPr="00652DE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ion Pro">
    <w:altName w:val="Cambria Math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2DEE"/>
    <w:rsid w:val="0016182F"/>
    <w:rsid w:val="005C0CC9"/>
    <w:rsid w:val="00652D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CAC5077"/>
  <w15:chartTrackingRefBased/>
  <w15:docId w15:val="{35D10702-DB88-45D2-98AF-DD0EDE9AB2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52DEE"/>
    <w:pPr>
      <w:spacing w:line="260" w:lineRule="atLeast"/>
      <w:jc w:val="both"/>
    </w:pPr>
    <w:rPr>
      <w:rFonts w:ascii="Minion Pro" w:eastAsia="宋体" w:hAnsi="Minion Pro" w:cs="Times New Roman"/>
      <w:color w:val="000000"/>
      <w:kern w:val="0"/>
      <w:sz w:val="20"/>
      <w:szCs w:val="20"/>
    </w:rPr>
  </w:style>
  <w:style w:type="paragraph" w:styleId="1">
    <w:name w:val="heading 1"/>
    <w:basedOn w:val="a"/>
    <w:next w:val="a"/>
    <w:link w:val="10"/>
    <w:uiPriority w:val="9"/>
    <w:qFormat/>
    <w:rsid w:val="00652DEE"/>
    <w:pPr>
      <w:keepNext/>
      <w:keepLines/>
      <w:widowControl w:val="0"/>
      <w:spacing w:before="480" w:after="80" w:line="240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52DEE"/>
    <w:pPr>
      <w:keepNext/>
      <w:keepLines/>
      <w:widowControl w:val="0"/>
      <w:spacing w:before="160" w:after="80" w:line="240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52DEE"/>
    <w:pPr>
      <w:keepNext/>
      <w:keepLines/>
      <w:widowControl w:val="0"/>
      <w:spacing w:before="160" w:after="80" w:line="240" w:lineRule="auto"/>
      <w:outlineLvl w:val="2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52DEE"/>
    <w:pPr>
      <w:keepNext/>
      <w:keepLines/>
      <w:widowControl w:val="0"/>
      <w:spacing w:before="80" w:after="40" w:line="240" w:lineRule="auto"/>
      <w:outlineLvl w:val="3"/>
    </w:pPr>
    <w:rPr>
      <w:rFonts w:asciiTheme="minorHAnsi" w:eastAsiaTheme="minorEastAsia" w:hAnsiTheme="minorHAnsi" w:cstheme="majorBidi"/>
      <w:color w:val="2F5496" w:themeColor="accent1" w:themeShade="BF"/>
      <w:kern w:val="2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52DEE"/>
    <w:pPr>
      <w:keepNext/>
      <w:keepLines/>
      <w:widowControl w:val="0"/>
      <w:spacing w:before="80" w:after="40" w:line="240" w:lineRule="auto"/>
      <w:outlineLvl w:val="4"/>
    </w:pPr>
    <w:rPr>
      <w:rFonts w:asciiTheme="minorHAnsi" w:eastAsiaTheme="minorEastAsia" w:hAnsiTheme="minorHAnsi" w:cstheme="majorBidi"/>
      <w:color w:val="2F5496" w:themeColor="accent1" w:themeShade="BF"/>
      <w:kern w:val="2"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52DEE"/>
    <w:pPr>
      <w:keepNext/>
      <w:keepLines/>
      <w:widowControl w:val="0"/>
      <w:spacing w:before="40" w:line="240" w:lineRule="auto"/>
      <w:outlineLvl w:val="5"/>
    </w:pPr>
    <w:rPr>
      <w:rFonts w:asciiTheme="minorHAnsi" w:eastAsiaTheme="minorEastAsia" w:hAnsiTheme="minorHAnsi" w:cstheme="majorBidi"/>
      <w:b/>
      <w:bCs/>
      <w:color w:val="2F5496" w:themeColor="accent1" w:themeShade="BF"/>
      <w:kern w:val="2"/>
      <w:sz w:val="21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52DEE"/>
    <w:pPr>
      <w:keepNext/>
      <w:keepLines/>
      <w:widowControl w:val="0"/>
      <w:spacing w:before="40" w:line="240" w:lineRule="auto"/>
      <w:outlineLvl w:val="6"/>
    </w:pPr>
    <w:rPr>
      <w:rFonts w:asciiTheme="minorHAnsi" w:eastAsiaTheme="minorEastAsia" w:hAnsiTheme="minorHAnsi" w:cstheme="majorBidi"/>
      <w:b/>
      <w:bCs/>
      <w:color w:val="595959" w:themeColor="text1" w:themeTint="A6"/>
      <w:kern w:val="2"/>
      <w:sz w:val="21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52DEE"/>
    <w:pPr>
      <w:keepNext/>
      <w:keepLines/>
      <w:widowControl w:val="0"/>
      <w:spacing w:line="240" w:lineRule="auto"/>
      <w:outlineLvl w:val="7"/>
    </w:pPr>
    <w:rPr>
      <w:rFonts w:asciiTheme="minorHAnsi" w:eastAsiaTheme="minorEastAsia" w:hAnsiTheme="minorHAnsi" w:cstheme="majorBidi"/>
      <w:color w:val="595959" w:themeColor="text1" w:themeTint="A6"/>
      <w:kern w:val="2"/>
      <w:sz w:val="21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52DEE"/>
    <w:pPr>
      <w:keepNext/>
      <w:keepLines/>
      <w:widowControl w:val="0"/>
      <w:spacing w:line="240" w:lineRule="auto"/>
      <w:outlineLvl w:val="8"/>
    </w:pPr>
    <w:rPr>
      <w:rFonts w:asciiTheme="minorHAnsi" w:eastAsiaTheme="majorEastAsia" w:hAnsiTheme="minorHAnsi" w:cstheme="majorBidi"/>
      <w:color w:val="595959" w:themeColor="text1" w:themeTint="A6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652DEE"/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652DEE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652DE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652DEE"/>
    <w:rPr>
      <w:rFonts w:cstheme="majorBidi"/>
      <w:color w:val="2F5496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652DEE"/>
    <w:rPr>
      <w:rFonts w:cstheme="majorBidi"/>
      <w:color w:val="2F5496" w:themeColor="accent1" w:themeShade="BF"/>
      <w:sz w:val="24"/>
      <w:szCs w:val="24"/>
    </w:rPr>
  </w:style>
  <w:style w:type="character" w:customStyle="1" w:styleId="60">
    <w:name w:val="标题 6 字符"/>
    <w:basedOn w:val="a0"/>
    <w:link w:val="6"/>
    <w:uiPriority w:val="9"/>
    <w:semiHidden/>
    <w:rsid w:val="00652DEE"/>
    <w:rPr>
      <w:rFonts w:cstheme="majorBidi"/>
      <w:b/>
      <w:bCs/>
      <w:color w:val="2F5496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652DEE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652DEE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652DEE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652DEE"/>
    <w:pPr>
      <w:widowControl w:val="0"/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652DE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652DEE"/>
    <w:pPr>
      <w:widowControl w:val="0"/>
      <w:numPr>
        <w:ilvl w:val="1"/>
      </w:numPr>
      <w:spacing w:after="160" w:line="240" w:lineRule="auto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kern w:val="2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652DEE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652DEE"/>
    <w:pPr>
      <w:widowControl w:val="0"/>
      <w:spacing w:before="160" w:after="160" w:line="240" w:lineRule="auto"/>
      <w:jc w:val="center"/>
    </w:pPr>
    <w:rPr>
      <w:rFonts w:asciiTheme="minorHAnsi" w:eastAsiaTheme="minorEastAsia" w:hAnsiTheme="minorHAnsi" w:cstheme="minorBidi"/>
      <w:i/>
      <w:iCs/>
      <w:color w:val="404040" w:themeColor="text1" w:themeTint="BF"/>
      <w:kern w:val="2"/>
      <w:sz w:val="21"/>
      <w:szCs w:val="22"/>
    </w:rPr>
  </w:style>
  <w:style w:type="character" w:customStyle="1" w:styleId="a8">
    <w:name w:val="引用 字符"/>
    <w:basedOn w:val="a0"/>
    <w:link w:val="a7"/>
    <w:uiPriority w:val="29"/>
    <w:rsid w:val="00652DEE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652DEE"/>
    <w:pPr>
      <w:widowControl w:val="0"/>
      <w:spacing w:line="240" w:lineRule="auto"/>
      <w:ind w:left="720"/>
      <w:contextualSpacing/>
    </w:pPr>
    <w:rPr>
      <w:rFonts w:asciiTheme="minorHAnsi" w:eastAsiaTheme="minorEastAsia" w:hAnsiTheme="minorHAnsi" w:cstheme="minorBidi"/>
      <w:color w:val="auto"/>
      <w:kern w:val="2"/>
      <w:sz w:val="21"/>
      <w:szCs w:val="22"/>
    </w:rPr>
  </w:style>
  <w:style w:type="character" w:styleId="aa">
    <w:name w:val="Intense Emphasis"/>
    <w:basedOn w:val="a0"/>
    <w:uiPriority w:val="21"/>
    <w:qFormat/>
    <w:rsid w:val="00652DEE"/>
    <w:rPr>
      <w:i/>
      <w:iCs/>
      <w:color w:val="2F5496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652DEE"/>
    <w:pPr>
      <w:widowControl w:val="0"/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40" w:lineRule="auto"/>
      <w:ind w:left="864" w:right="864"/>
      <w:jc w:val="center"/>
    </w:pPr>
    <w:rPr>
      <w:rFonts w:asciiTheme="minorHAnsi" w:eastAsiaTheme="minorEastAsia" w:hAnsiTheme="minorHAnsi" w:cstheme="minorBidi"/>
      <w:i/>
      <w:iCs/>
      <w:color w:val="2F5496" w:themeColor="accent1" w:themeShade="BF"/>
      <w:kern w:val="2"/>
      <w:sz w:val="21"/>
      <w:szCs w:val="22"/>
    </w:rPr>
  </w:style>
  <w:style w:type="character" w:customStyle="1" w:styleId="ac">
    <w:name w:val="明显引用 字符"/>
    <w:basedOn w:val="a0"/>
    <w:link w:val="ab"/>
    <w:uiPriority w:val="30"/>
    <w:rsid w:val="00652DEE"/>
    <w:rPr>
      <w:i/>
      <w:iCs/>
      <w:color w:val="2F5496" w:themeColor="accent1" w:themeShade="BF"/>
    </w:rPr>
  </w:style>
  <w:style w:type="character" w:styleId="ad">
    <w:name w:val="Intense Reference"/>
    <w:basedOn w:val="a0"/>
    <w:uiPriority w:val="32"/>
    <w:qFormat/>
    <w:rsid w:val="00652DEE"/>
    <w:rPr>
      <w:b/>
      <w:bCs/>
      <w:smallCaps/>
      <w:color w:val="2F5496" w:themeColor="accent1" w:themeShade="BF"/>
      <w:spacing w:val="5"/>
    </w:rPr>
  </w:style>
  <w:style w:type="paragraph" w:customStyle="1" w:styleId="EndNoteBibliography">
    <w:name w:val="EndNote Bibliography"/>
    <w:basedOn w:val="a"/>
    <w:link w:val="EndNoteBibliography0"/>
    <w:qFormat/>
    <w:rsid w:val="00652DEE"/>
    <w:pPr>
      <w:widowControl w:val="0"/>
      <w:spacing w:line="240" w:lineRule="auto"/>
    </w:pPr>
    <w:rPr>
      <w:rFonts w:ascii="等线" w:eastAsia="等线" w:hAnsi="等线" w:cstheme="minorBidi"/>
      <w:color w:val="auto"/>
      <w:kern w:val="2"/>
      <w:szCs w:val="22"/>
    </w:rPr>
  </w:style>
  <w:style w:type="character" w:customStyle="1" w:styleId="EndNoteBibliography0">
    <w:name w:val="EndNote Bibliography 字符"/>
    <w:basedOn w:val="a0"/>
    <w:link w:val="EndNoteBibliography"/>
    <w:qFormat/>
    <w:rsid w:val="00652DEE"/>
    <w:rPr>
      <w:rFonts w:ascii="等线" w:eastAsia="等线" w:hAnsi="等线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1276</Characters>
  <Application>Microsoft Office Word</Application>
  <DocSecurity>0</DocSecurity>
  <Lines>22</Lines>
  <Paragraphs>9</Paragraphs>
  <ScaleCrop>false</ScaleCrop>
  <Company/>
  <LinksUpToDate>false</LinksUpToDate>
  <CharactersWithSpaces>1518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Office365</dc:creator>
  <cp:keywords/>
  <dc:description/>
  <cp:lastModifiedBy>Office365</cp:lastModifiedBy>
  <cp:revision>1</cp:revision>
  <dcterms:created xsi:type="dcterms:W3CDTF">2025-04-15T07:00:00Z</dcterms:created>
  <dcterms:modified xsi:type="dcterms:W3CDTF">2025-04-15T07:06:00Z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cd9f1bae-0c1f-4e6c-aabf-0291297f1dfc</vt:lpwstr>
  </property>
</Properties>
</file>